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F0A" w:rsidRDefault="00631F0A">
      <w:pPr>
        <w:rPr>
          <w:rFonts w:ascii="Arial" w:eastAsia="Arial" w:hAnsi="Arial" w:cs="Arial"/>
        </w:rPr>
      </w:pPr>
    </w:p>
    <w:p w:rsidR="00631F0A" w:rsidRDefault="00AD4584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 xml:space="preserve">CONTENUTI ESSENZIALI CLASSE </w:t>
      </w:r>
      <w:r w:rsidR="00226FB3">
        <w:rPr>
          <w:rFonts w:ascii="Arial" w:eastAsia="Arial" w:hAnsi="Arial" w:cs="Arial"/>
          <w:b/>
          <w:sz w:val="36"/>
          <w:szCs w:val="36"/>
        </w:rPr>
        <w:t>SECONDA</w:t>
      </w:r>
      <w:bookmarkStart w:id="0" w:name="_GoBack"/>
      <w:bookmarkEnd w:id="0"/>
      <w:r>
        <w:rPr>
          <w:rFonts w:ascii="Arial" w:eastAsia="Arial" w:hAnsi="Arial" w:cs="Arial"/>
          <w:b/>
          <w:sz w:val="36"/>
          <w:szCs w:val="36"/>
        </w:rPr>
        <w:t xml:space="preserve"> AFM:</w:t>
      </w:r>
    </w:p>
    <w:p w:rsidR="00631F0A" w:rsidRDefault="00AD4584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ESAMI INTEGRATIVI DELLA CLASSE II° PER ENTRARE IN III°</w:t>
      </w:r>
    </w:p>
    <w:p w:rsidR="00631F0A" w:rsidRDefault="00631F0A">
      <w:pPr>
        <w:jc w:val="center"/>
        <w:rPr>
          <w:rFonts w:ascii="Arial" w:eastAsia="Arial" w:hAnsi="Arial" w:cs="Arial"/>
          <w:b/>
          <w:sz w:val="36"/>
          <w:szCs w:val="36"/>
        </w:rPr>
      </w:pPr>
    </w:p>
    <w:tbl>
      <w:tblPr>
        <w:tblStyle w:val="a8"/>
        <w:tblW w:w="9555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55"/>
      </w:tblGrid>
      <w:tr w:rsidR="00631F0A">
        <w:tc>
          <w:tcPr>
            <w:tcW w:w="9555" w:type="dxa"/>
          </w:tcPr>
          <w:p w:rsidR="00631F0A" w:rsidRDefault="00AD4584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PROGRAMMA MATEMATICA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631F0A">
        <w:tc>
          <w:tcPr>
            <w:tcW w:w="9555" w:type="dxa"/>
          </w:tcPr>
          <w:p w:rsidR="00631F0A" w:rsidRDefault="00AD4584">
            <w:pPr>
              <w:numPr>
                <w:ilvl w:val="0"/>
                <w:numId w:val="2"/>
              </w:numPr>
              <w:tabs>
                <w:tab w:val="left" w:pos="2227"/>
              </w:tabs>
              <w:spacing w:before="240" w:after="120"/>
              <w:ind w:left="714" w:hanging="357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Raccordo con la classe prima (equazioni e disequazioni):</w:t>
            </w:r>
          </w:p>
          <w:p w:rsidR="00631F0A" w:rsidRDefault="00AD4584">
            <w:pPr>
              <w:spacing w:before="196"/>
              <w:ind w:left="850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Risolvere semplici equazioni intere e fratte;</w:t>
            </w:r>
          </w:p>
          <w:p w:rsidR="00631F0A" w:rsidRDefault="00AD4584">
            <w:pPr>
              <w:spacing w:before="196"/>
              <w:ind w:right="-91" w:firstLine="85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Risolvere semplici problemi che hanno come modello le equazioni.</w:t>
            </w:r>
          </w:p>
          <w:p w:rsidR="00631F0A" w:rsidRDefault="00AD4584">
            <w:pPr>
              <w:spacing w:before="196"/>
              <w:ind w:left="843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Utilizzare gli intervalli nella rappresentazione di una soluzione;</w:t>
            </w:r>
          </w:p>
          <w:p w:rsidR="00631F0A" w:rsidRDefault="00AD4584">
            <w:pPr>
              <w:spacing w:before="196"/>
              <w:ind w:left="843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Risolvere semplici disequazioni di primo grado intere e fratte;</w:t>
            </w:r>
          </w:p>
          <w:p w:rsidR="00631F0A" w:rsidRDefault="00AD4584">
            <w:pPr>
              <w:spacing w:before="196"/>
              <w:ind w:left="843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Risolvere semplici sistemi di disequazioni intere.</w:t>
            </w:r>
          </w:p>
          <w:p w:rsidR="00631F0A" w:rsidRDefault="00631F0A">
            <w:pPr>
              <w:tabs>
                <w:tab w:val="left" w:pos="2227"/>
              </w:tabs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  <w:p w:rsidR="00631F0A" w:rsidRDefault="00AD4584">
            <w:pPr>
              <w:numPr>
                <w:ilvl w:val="0"/>
                <w:numId w:val="2"/>
              </w:numPr>
              <w:tabs>
                <w:tab w:val="left" w:pos="2227"/>
              </w:tabs>
              <w:spacing w:before="240" w:after="120"/>
              <w:ind w:left="714" w:hanging="357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Funzione, retta e sistemi</w:t>
            </w:r>
          </w:p>
          <w:p w:rsidR="00631F0A" w:rsidRDefault="00AD4584">
            <w:pPr>
              <w:spacing w:before="196"/>
              <w:ind w:left="843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Concetto di dominio, zeri e segno della funzione lineare;</w:t>
            </w:r>
          </w:p>
          <w:p w:rsidR="00631F0A" w:rsidRDefault="00AD4584">
            <w:pPr>
              <w:spacing w:before="196"/>
              <w:ind w:left="843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Rappresentazione dei punti sul piano cartesiano; calcolo della lunghezza di un segmento e delle aree di semplici figure geometriche;</w:t>
            </w:r>
          </w:p>
          <w:p w:rsidR="00631F0A" w:rsidRDefault="00AD4584">
            <w:pPr>
              <w:spacing w:before="196"/>
              <w:ind w:left="843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Rappresentazione del grafico di una ret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ta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retta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:rsidR="00631F0A" w:rsidRDefault="00AD4584">
            <w:pPr>
              <w:spacing w:before="196"/>
              <w:ind w:left="843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Conoscenza del significato di coefficiente angolare; </w:t>
            </w:r>
          </w:p>
          <w:p w:rsidR="00631F0A" w:rsidRDefault="00AD4584">
            <w:pPr>
              <w:spacing w:before="196"/>
              <w:ind w:left="843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Saper utilizzare le condizioni di appartenenza di un punto ad una retta;</w:t>
            </w:r>
          </w:p>
          <w:p w:rsidR="00631F0A" w:rsidRDefault="00AD4584">
            <w:pPr>
              <w:spacing w:before="196"/>
              <w:ind w:left="843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Riconoscere rette parallele e perpendicolari; </w:t>
            </w:r>
          </w:p>
          <w:p w:rsidR="00631F0A" w:rsidRDefault="00AD4584">
            <w:pPr>
              <w:spacing w:before="196"/>
              <w:ind w:left="843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Risoluzione di sistemi lineari;</w:t>
            </w:r>
          </w:p>
          <w:p w:rsidR="00631F0A" w:rsidRDefault="00AD4584">
            <w:pPr>
              <w:spacing w:before="196"/>
              <w:ind w:left="843" w:right="-91"/>
              <w:rPr>
                <w:rFonts w:ascii="Arial" w:eastAsia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sz w:val="24"/>
                <w:szCs w:val="24"/>
              </w:rPr>
              <w:t>saper</w:t>
            </w:r>
            <w:proofErr w:type="gramEnd"/>
            <w:r>
              <w:rPr>
                <w:rFonts w:ascii="Arial" w:eastAsia="Arial" w:hAnsi="Arial" w:cs="Arial"/>
                <w:sz w:val="24"/>
                <w:szCs w:val="24"/>
              </w:rPr>
              <w:t xml:space="preserve"> impostare e risolvere semplici pro</w:t>
            </w:r>
            <w:r>
              <w:rPr>
                <w:rFonts w:ascii="Arial" w:eastAsia="Arial" w:hAnsi="Arial" w:cs="Arial"/>
                <w:sz w:val="24"/>
                <w:szCs w:val="24"/>
              </w:rPr>
              <w:t>blemi.</w:t>
            </w:r>
          </w:p>
          <w:p w:rsidR="00631F0A" w:rsidRDefault="00631F0A">
            <w:pPr>
              <w:tabs>
                <w:tab w:val="left" w:pos="2227"/>
              </w:tabs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  <w:p w:rsidR="00631F0A" w:rsidRDefault="00AD4584">
            <w:pPr>
              <w:numPr>
                <w:ilvl w:val="0"/>
                <w:numId w:val="2"/>
              </w:numPr>
              <w:tabs>
                <w:tab w:val="left" w:pos="2227"/>
              </w:tabs>
              <w:spacing w:before="240" w:after="120"/>
              <w:ind w:left="714" w:hanging="357"/>
              <w:rPr>
                <w:rFonts w:ascii="Arial" w:eastAsia="Arial" w:hAnsi="Arial" w:cs="Arial"/>
                <w:b/>
                <w:sz w:val="24"/>
                <w:szCs w:val="24"/>
              </w:rPr>
            </w:pPr>
            <w:bookmarkStart w:id="1" w:name="_heading=h.ej06a7257np5" w:colFirst="0" w:colLast="0"/>
            <w:bookmarkEnd w:id="1"/>
            <w:r>
              <w:rPr>
                <w:rFonts w:ascii="Arial" w:eastAsia="Arial" w:hAnsi="Arial" w:cs="Arial"/>
                <w:b/>
                <w:sz w:val="24"/>
                <w:szCs w:val="24"/>
              </w:rPr>
              <w:t>Equazioni di secondo grado</w:t>
            </w:r>
          </w:p>
          <w:p w:rsidR="00631F0A" w:rsidRDefault="00AD4584">
            <w:pPr>
              <w:spacing w:before="196"/>
              <w:ind w:left="843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 Saper operare con i radicali quadratici;</w:t>
            </w:r>
          </w:p>
          <w:p w:rsidR="00631F0A" w:rsidRDefault="00AD4584">
            <w:pPr>
              <w:spacing w:before="196"/>
              <w:ind w:left="843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Conoscere la condizione di esistenza dei radicali quadratici e non;</w:t>
            </w:r>
          </w:p>
          <w:p w:rsidR="00631F0A" w:rsidRDefault="00AD4584">
            <w:pPr>
              <w:spacing w:before="196" w:line="360" w:lineRule="auto"/>
              <w:ind w:left="845" w:right="-9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Saper risolvere semplici equazioni di secondo grado complete e saper Riconoscere la tipologia di equazioni comp</w:t>
            </w:r>
            <w:r>
              <w:rPr>
                <w:rFonts w:ascii="Arial" w:eastAsia="Arial" w:hAnsi="Arial" w:cs="Arial"/>
                <w:sz w:val="24"/>
                <w:szCs w:val="24"/>
              </w:rPr>
              <w:t>leta ed incompleta.</w:t>
            </w:r>
          </w:p>
          <w:p w:rsidR="00631F0A" w:rsidRDefault="00631F0A">
            <w:pPr>
              <w:spacing w:before="196"/>
              <w:ind w:left="720" w:right="-180"/>
              <w:rPr>
                <w:rFonts w:ascii="Arial" w:eastAsia="Arial" w:hAnsi="Arial" w:cs="Arial"/>
                <w:sz w:val="24"/>
                <w:szCs w:val="24"/>
              </w:rPr>
            </w:pPr>
          </w:p>
          <w:p w:rsidR="00631F0A" w:rsidRDefault="00631F0A">
            <w:pPr>
              <w:spacing w:before="196"/>
              <w:ind w:left="720" w:right="-180"/>
              <w:rPr>
                <w:rFonts w:ascii="Arial" w:eastAsia="Arial" w:hAnsi="Arial" w:cs="Arial"/>
                <w:sz w:val="24"/>
                <w:szCs w:val="24"/>
              </w:rPr>
            </w:pPr>
          </w:p>
          <w:p w:rsidR="00631F0A" w:rsidRDefault="00AD4584">
            <w:pPr>
              <w:pStyle w:val="Titolo1"/>
              <w:keepNext w:val="0"/>
              <w:widowControl w:val="0"/>
              <w:numPr>
                <w:ilvl w:val="0"/>
                <w:numId w:val="3"/>
              </w:numPr>
              <w:tabs>
                <w:tab w:val="left" w:pos="1585"/>
              </w:tabs>
              <w:spacing w:before="47" w:line="223" w:lineRule="auto"/>
              <w:jc w:val="left"/>
              <w:outlineLvl w:val="0"/>
              <w:rPr>
                <w:b w:val="0"/>
                <w:sz w:val="24"/>
                <w:szCs w:val="24"/>
              </w:rPr>
            </w:pPr>
            <w:bookmarkStart w:id="2" w:name="_heading=h.39tmyhezn0u3" w:colFirst="0" w:colLast="0"/>
            <w:bookmarkEnd w:id="2"/>
            <w:r>
              <w:rPr>
                <w:sz w:val="24"/>
                <w:szCs w:val="24"/>
              </w:rPr>
              <w:t>La parabola, le disequazioni e i sistemi di secondo grado</w:t>
            </w:r>
          </w:p>
          <w:p w:rsidR="00631F0A" w:rsidRDefault="00AD4584">
            <w:pPr>
              <w:spacing w:before="196"/>
              <w:ind w:left="720" w:right="-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Saper rappresentare una parabola nel piano cartesiano con intersezioni e vertice;</w:t>
            </w:r>
          </w:p>
          <w:p w:rsidR="00631F0A" w:rsidRDefault="00AD4584">
            <w:pPr>
              <w:spacing w:before="196"/>
              <w:ind w:left="720" w:right="-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Saper risolvere le disequazioni di secondo grado con il metodo grafico.</w:t>
            </w:r>
          </w:p>
          <w:p w:rsidR="00631F0A" w:rsidRDefault="00631F0A">
            <w:pPr>
              <w:spacing w:before="196"/>
              <w:ind w:left="720" w:right="-180"/>
              <w:rPr>
                <w:rFonts w:ascii="Arial" w:eastAsia="Arial" w:hAnsi="Arial" w:cs="Arial"/>
                <w:sz w:val="24"/>
                <w:szCs w:val="24"/>
              </w:rPr>
            </w:pPr>
          </w:p>
          <w:p w:rsidR="00631F0A" w:rsidRDefault="00631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/>
              <w:ind w:left="720" w:right="-180"/>
              <w:rPr>
                <w:rFonts w:ascii="Arial" w:eastAsia="Arial" w:hAnsi="Arial" w:cs="Arial"/>
                <w:sz w:val="24"/>
                <w:szCs w:val="24"/>
              </w:rPr>
            </w:pPr>
          </w:p>
          <w:p w:rsidR="00631F0A" w:rsidRDefault="00AD4584">
            <w:pPr>
              <w:pStyle w:val="Titolo1"/>
              <w:keepNext w:val="0"/>
              <w:widowControl w:val="0"/>
              <w:numPr>
                <w:ilvl w:val="0"/>
                <w:numId w:val="1"/>
              </w:numPr>
              <w:tabs>
                <w:tab w:val="left" w:pos="1585"/>
              </w:tabs>
              <w:spacing w:before="47" w:line="223" w:lineRule="auto"/>
              <w:jc w:val="left"/>
              <w:outlineLvl w:val="0"/>
              <w:rPr>
                <w:sz w:val="24"/>
                <w:szCs w:val="24"/>
              </w:rPr>
            </w:pPr>
            <w:bookmarkStart w:id="3" w:name="_heading=h.agg9ikvdrpsu" w:colFirst="0" w:colLast="0"/>
            <w:bookmarkEnd w:id="3"/>
            <w:r>
              <w:rPr>
                <w:rFonts w:ascii="LM Roman 12" w:eastAsia="LM Roman 12" w:hAnsi="LM Roman 12" w:cs="LM Roman 12"/>
                <w:b w:val="0"/>
                <w:color w:val="000000"/>
              </w:rPr>
              <w:t> </w:t>
            </w:r>
            <w:r>
              <w:rPr>
                <w:sz w:val="24"/>
                <w:szCs w:val="24"/>
              </w:rPr>
              <w:t>Probabilità e Statistica (Biennio)</w:t>
            </w:r>
          </w:p>
          <w:p w:rsidR="00631F0A" w:rsidRDefault="00AD4584">
            <w:pPr>
              <w:spacing w:before="196"/>
              <w:ind w:left="720" w:right="-18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Riconoscere le fasi di un’indagine statistica;</w:t>
            </w:r>
          </w:p>
          <w:p w:rsidR="00631F0A" w:rsidRDefault="00AD4584">
            <w:pPr>
              <w:spacing w:before="196" w:line="360" w:lineRule="auto"/>
              <w:ind w:left="720" w:right="493"/>
              <w:rPr>
                <w:rFonts w:ascii="Arial" w:eastAsia="Arial" w:hAnsi="Arial" w:cs="Arial"/>
                <w:sz w:val="24"/>
                <w:szCs w:val="24"/>
              </w:rPr>
            </w:pPr>
            <w:bookmarkStart w:id="4" w:name="_heading=h.30j0zll" w:colFirst="0" w:colLast="0"/>
            <w:bookmarkEnd w:id="4"/>
            <w:r>
              <w:rPr>
                <w:rFonts w:ascii="Arial" w:eastAsia="Arial" w:hAnsi="Arial" w:cs="Arial"/>
                <w:sz w:val="24"/>
                <w:szCs w:val="24"/>
              </w:rPr>
              <w:t>Saper analizzare semplici situazioni e saperle rappresentare; saper definire media, mediana e moda di una distribuzione.</w:t>
            </w:r>
          </w:p>
          <w:p w:rsidR="00631F0A" w:rsidRDefault="00AD4584">
            <w:pPr>
              <w:ind w:left="720" w:right="-18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Conoscere la definizione di probabilità e saper il linguaggio degli eventi</w:t>
            </w:r>
          </w:p>
          <w:p w:rsidR="00631F0A" w:rsidRDefault="00631F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6"/>
              <w:ind w:left="720" w:right="-180"/>
              <w:rPr>
                <w:rFonts w:ascii="Arial" w:eastAsia="Arial" w:hAnsi="Arial" w:cs="Arial"/>
                <w:sz w:val="24"/>
                <w:szCs w:val="24"/>
              </w:rPr>
            </w:pPr>
          </w:p>
          <w:p w:rsidR="00631F0A" w:rsidRDefault="00631F0A">
            <w:pPr>
              <w:spacing w:before="196"/>
              <w:ind w:right="-180"/>
              <w:rPr>
                <w:rFonts w:ascii="Arial" w:eastAsia="Arial" w:hAnsi="Arial" w:cs="Arial"/>
                <w:sz w:val="24"/>
                <w:szCs w:val="24"/>
              </w:rPr>
            </w:pPr>
          </w:p>
          <w:p w:rsidR="00631F0A" w:rsidRDefault="00631F0A">
            <w:pPr>
              <w:spacing w:before="196"/>
              <w:ind w:right="-180"/>
              <w:rPr>
                <w:rFonts w:ascii="Arial" w:eastAsia="Arial" w:hAnsi="Arial" w:cs="Arial"/>
                <w:sz w:val="24"/>
                <w:szCs w:val="24"/>
              </w:rPr>
            </w:pPr>
          </w:p>
          <w:p w:rsidR="00631F0A" w:rsidRDefault="00631F0A">
            <w:pPr>
              <w:spacing w:before="196"/>
              <w:ind w:right="-180"/>
              <w:rPr>
                <w:rFonts w:ascii="Arial" w:eastAsia="Arial" w:hAnsi="Arial" w:cs="Arial"/>
                <w:sz w:val="24"/>
                <w:szCs w:val="24"/>
              </w:rPr>
            </w:pPr>
          </w:p>
          <w:p w:rsidR="00631F0A" w:rsidRDefault="00631F0A">
            <w:pPr>
              <w:spacing w:before="196"/>
              <w:ind w:right="-180"/>
              <w:rPr>
                <w:rFonts w:ascii="Arial" w:eastAsia="Arial" w:hAnsi="Arial" w:cs="Arial"/>
                <w:sz w:val="24"/>
                <w:szCs w:val="24"/>
              </w:rPr>
            </w:pPr>
          </w:p>
          <w:p w:rsidR="00631F0A" w:rsidRDefault="00631F0A">
            <w:pPr>
              <w:rPr>
                <w:b/>
                <w:sz w:val="28"/>
                <w:szCs w:val="28"/>
              </w:rPr>
            </w:pPr>
          </w:p>
          <w:p w:rsidR="00631F0A" w:rsidRDefault="00631F0A">
            <w:pPr>
              <w:rPr>
                <w:b/>
                <w:sz w:val="28"/>
                <w:szCs w:val="28"/>
              </w:rPr>
            </w:pPr>
          </w:p>
        </w:tc>
      </w:tr>
      <w:tr w:rsidR="00631F0A">
        <w:tc>
          <w:tcPr>
            <w:tcW w:w="9555" w:type="dxa"/>
          </w:tcPr>
          <w:p w:rsidR="00631F0A" w:rsidRDefault="00631F0A">
            <w:pPr>
              <w:tabs>
                <w:tab w:val="left" w:pos="2227"/>
              </w:tabs>
              <w:ind w:left="72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631F0A" w:rsidRDefault="00631F0A">
      <w:bookmarkStart w:id="5" w:name="_heading=h.gjdgxs" w:colFirst="0" w:colLast="0"/>
      <w:bookmarkEnd w:id="5"/>
    </w:p>
    <w:p w:rsidR="00631F0A" w:rsidRDefault="00631F0A">
      <w:bookmarkStart w:id="6" w:name="_heading=h.nbuujwcv3oho" w:colFirst="0" w:colLast="0"/>
      <w:bookmarkEnd w:id="6"/>
    </w:p>
    <w:p w:rsidR="00631F0A" w:rsidRDefault="00631F0A">
      <w:bookmarkStart w:id="7" w:name="_heading=h.3xuh13v94bz7" w:colFirst="0" w:colLast="0"/>
      <w:bookmarkEnd w:id="7"/>
    </w:p>
    <w:p w:rsidR="00631F0A" w:rsidRDefault="00AD4584">
      <w:pPr>
        <w:rPr>
          <w:rFonts w:ascii="Arial" w:eastAsia="Arial" w:hAnsi="Arial" w:cs="Arial"/>
          <w:sz w:val="24"/>
          <w:szCs w:val="24"/>
        </w:rPr>
      </w:pPr>
      <w:bookmarkStart w:id="8" w:name="_heading=h.h7m8gz54t00q" w:colFirst="0" w:colLast="0"/>
      <w:bookmarkEnd w:id="8"/>
      <w:proofErr w:type="gramStart"/>
      <w:r>
        <w:rPr>
          <w:rFonts w:ascii="Arial" w:eastAsia="Arial" w:hAnsi="Arial" w:cs="Arial"/>
          <w:sz w:val="24"/>
          <w:szCs w:val="24"/>
        </w:rPr>
        <w:t>Pinerolo,</w:t>
      </w:r>
      <w:r>
        <w:rPr>
          <w:rFonts w:ascii="Arial" w:eastAsia="Arial" w:hAnsi="Arial" w:cs="Arial"/>
          <w:sz w:val="24"/>
          <w:szCs w:val="24"/>
        </w:rPr>
        <w:tab/>
      </w:r>
      <w:proofErr w:type="gramEnd"/>
      <w:r>
        <w:rPr>
          <w:rFonts w:ascii="Arial" w:eastAsia="Arial" w:hAnsi="Arial" w:cs="Arial"/>
          <w:sz w:val="24"/>
          <w:szCs w:val="24"/>
        </w:rPr>
        <w:t>marzo 2023</w:t>
      </w:r>
      <w:r>
        <w:rPr>
          <w:rFonts w:ascii="Arial" w:eastAsia="Arial" w:hAnsi="Arial" w:cs="Arial"/>
          <w:sz w:val="24"/>
          <w:szCs w:val="24"/>
        </w:rPr>
        <w:tab/>
      </w:r>
    </w:p>
    <w:p w:rsidR="00631F0A" w:rsidRDefault="00AD4584">
      <w:pPr>
        <w:ind w:left="2880" w:firstLine="720"/>
        <w:rPr>
          <w:rFonts w:ascii="Arial" w:eastAsia="Arial" w:hAnsi="Arial" w:cs="Arial"/>
          <w:sz w:val="24"/>
          <w:szCs w:val="24"/>
        </w:rPr>
      </w:pPr>
      <w:bookmarkStart w:id="9" w:name="_heading=h.e4a9gp6jfqo5" w:colFirst="0" w:colLast="0"/>
      <w:bookmarkEnd w:id="9"/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Il Coordinatore del Dipartimento</w:t>
      </w:r>
      <w:r>
        <w:rPr>
          <w:rFonts w:ascii="Arial" w:eastAsia="Arial" w:hAnsi="Arial" w:cs="Arial"/>
          <w:sz w:val="24"/>
          <w:szCs w:val="24"/>
          <w:vertAlign w:val="superscript"/>
        </w:rPr>
        <w:footnoteReference w:id="1"/>
      </w:r>
      <w:r>
        <w:rPr>
          <w:rFonts w:ascii="Arial" w:eastAsia="Arial" w:hAnsi="Arial" w:cs="Arial"/>
          <w:sz w:val="24"/>
          <w:szCs w:val="24"/>
        </w:rPr>
        <w:tab/>
      </w:r>
    </w:p>
    <w:p w:rsidR="00631F0A" w:rsidRDefault="00AD4584">
      <w:pPr>
        <w:rPr>
          <w:rFonts w:ascii="Arial" w:eastAsia="Arial" w:hAnsi="Arial" w:cs="Arial"/>
          <w:sz w:val="24"/>
          <w:szCs w:val="24"/>
        </w:rPr>
      </w:pPr>
      <w:bookmarkStart w:id="10" w:name="_heading=h.mmmd2p1a59yv" w:colFirst="0" w:colLast="0"/>
      <w:bookmarkEnd w:id="10"/>
      <w:r>
        <w:rPr>
          <w:rFonts w:ascii="Arial" w:eastAsia="Arial" w:hAnsi="Arial" w:cs="Arial"/>
          <w:sz w:val="24"/>
          <w:szCs w:val="24"/>
        </w:rPr>
        <w:t>VISTO: IL DIRIGENTE SCOLASTICO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 xml:space="preserve"> professoressa Paola </w:t>
      </w:r>
      <w:proofErr w:type="spellStart"/>
      <w:r>
        <w:rPr>
          <w:rFonts w:ascii="Arial" w:eastAsia="Arial" w:hAnsi="Arial" w:cs="Arial"/>
          <w:sz w:val="24"/>
          <w:szCs w:val="24"/>
        </w:rPr>
        <w:t>Revelli</w:t>
      </w:r>
      <w:proofErr w:type="spellEnd"/>
    </w:p>
    <w:p w:rsidR="00631F0A" w:rsidRDefault="00AD4584">
      <w:pPr>
        <w:rPr>
          <w:rFonts w:ascii="Arial" w:eastAsia="Arial" w:hAnsi="Arial" w:cs="Arial"/>
          <w:sz w:val="24"/>
          <w:szCs w:val="24"/>
        </w:rPr>
      </w:pPr>
      <w:bookmarkStart w:id="11" w:name="_heading=h.o3enx98pv9m9" w:colFirst="0" w:colLast="0"/>
      <w:bookmarkEnd w:id="11"/>
      <w:r>
        <w:rPr>
          <w:rFonts w:ascii="Arial" w:eastAsia="Arial" w:hAnsi="Arial" w:cs="Arial"/>
          <w:sz w:val="24"/>
          <w:szCs w:val="24"/>
        </w:rPr>
        <w:t>(</w:t>
      </w:r>
      <w:proofErr w:type="gramStart"/>
      <w:r>
        <w:rPr>
          <w:rFonts w:ascii="Arial" w:eastAsia="Arial" w:hAnsi="Arial" w:cs="Arial"/>
          <w:sz w:val="24"/>
          <w:szCs w:val="24"/>
        </w:rPr>
        <w:t>prof.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Danilo CHIABRANDO)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</w:p>
    <w:sectPr w:rsidR="00631F0A">
      <w:headerReference w:type="default" r:id="rId8"/>
      <w:pgSz w:w="11906" w:h="16838"/>
      <w:pgMar w:top="1133" w:right="707" w:bottom="823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584" w:rsidRDefault="00AD4584">
      <w:pPr>
        <w:spacing w:after="0" w:line="240" w:lineRule="auto"/>
      </w:pPr>
      <w:r>
        <w:separator/>
      </w:r>
    </w:p>
  </w:endnote>
  <w:endnote w:type="continuationSeparator" w:id="0">
    <w:p w:rsidR="00AD4584" w:rsidRDefault="00AD4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M Roman 12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584" w:rsidRDefault="00AD4584">
      <w:pPr>
        <w:spacing w:after="0" w:line="240" w:lineRule="auto"/>
      </w:pPr>
      <w:r>
        <w:separator/>
      </w:r>
    </w:p>
  </w:footnote>
  <w:footnote w:type="continuationSeparator" w:id="0">
    <w:p w:rsidR="00AD4584" w:rsidRDefault="00AD4584">
      <w:pPr>
        <w:spacing w:after="0" w:line="240" w:lineRule="auto"/>
      </w:pPr>
      <w:r>
        <w:continuationSeparator/>
      </w:r>
    </w:p>
  </w:footnote>
  <w:footnote w:id="1">
    <w:p w:rsidR="00631F0A" w:rsidRDefault="00AD4584">
      <w:pPr>
        <w:spacing w:after="0" w:line="240" w:lineRule="auto"/>
        <w:rPr>
          <w:b/>
          <w:sz w:val="28"/>
          <w:szCs w:val="28"/>
        </w:rPr>
      </w:pPr>
      <w:r>
        <w:rPr>
          <w:vertAlign w:val="superscript"/>
        </w:rPr>
        <w:footnoteRef/>
      </w:r>
      <w:r>
        <w:rPr>
          <w:b/>
          <w:sz w:val="28"/>
          <w:szCs w:val="28"/>
        </w:rPr>
        <w:t xml:space="preserve">Dipartimento di matematica               A.S. 2022-2023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F0A" w:rsidRDefault="00AD4584">
    <w:pPr>
      <w:keepNext/>
      <w:pBdr>
        <w:right w:val="single" w:sz="4" w:space="4" w:color="000000"/>
      </w:pBdr>
      <w:spacing w:before="20" w:after="20" w:line="240" w:lineRule="auto"/>
      <w:jc w:val="right"/>
      <w:rPr>
        <w:rFonts w:ascii="Times New Roman" w:eastAsia="Times New Roman" w:hAnsi="Times New Roman" w:cs="Times New Roman"/>
        <w:b/>
        <w:color w:val="3B3838"/>
        <w:sz w:val="19"/>
        <w:szCs w:val="19"/>
      </w:rPr>
    </w:pPr>
    <w:r>
      <w:rPr>
        <w:rFonts w:ascii="Times New Roman" w:eastAsia="Times New Roman" w:hAnsi="Times New Roman" w:cs="Times New Roman"/>
        <w:b/>
        <w:color w:val="3B3838"/>
        <w:sz w:val="19"/>
        <w:szCs w:val="19"/>
      </w:rPr>
      <w:t xml:space="preserve">Istituto di Istruzione Superiore “Michele </w:t>
    </w:r>
    <w:proofErr w:type="spellStart"/>
    <w:r>
      <w:rPr>
        <w:rFonts w:ascii="Times New Roman" w:eastAsia="Times New Roman" w:hAnsi="Times New Roman" w:cs="Times New Roman"/>
        <w:b/>
        <w:color w:val="3B3838"/>
        <w:sz w:val="19"/>
        <w:szCs w:val="19"/>
      </w:rPr>
      <w:t>Buniva</w:t>
    </w:r>
    <w:proofErr w:type="spellEnd"/>
    <w:r>
      <w:rPr>
        <w:rFonts w:ascii="Times New Roman" w:eastAsia="Times New Roman" w:hAnsi="Times New Roman" w:cs="Times New Roman"/>
        <w:b/>
        <w:color w:val="3B3838"/>
        <w:sz w:val="19"/>
        <w:szCs w:val="19"/>
      </w:rPr>
      <w:t xml:space="preserve"> “</w:t>
    </w: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232253</wp:posOffset>
          </wp:positionH>
          <wp:positionV relativeFrom="paragraph">
            <wp:posOffset>31750</wp:posOffset>
          </wp:positionV>
          <wp:extent cx="1219200" cy="695325"/>
          <wp:effectExtent l="0" t="0" r="0" b="0"/>
          <wp:wrapSquare wrapText="bothSides" distT="0" distB="0" distL="0" distR="0"/>
          <wp:docPr id="7" name="image1.jpg" descr="Logo Buniv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Buniv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31F0A" w:rsidRDefault="00AD4584">
    <w:pPr>
      <w:keepNext/>
      <w:pBdr>
        <w:right w:val="single" w:sz="4" w:space="4" w:color="000000"/>
      </w:pBdr>
      <w:spacing w:before="20" w:after="20" w:line="240" w:lineRule="auto"/>
      <w:jc w:val="right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b/>
        <w:color w:val="3B3838"/>
        <w:sz w:val="19"/>
        <w:szCs w:val="19"/>
      </w:rPr>
      <w:t xml:space="preserve"> </w:t>
    </w:r>
    <w:r>
      <w:rPr>
        <w:rFonts w:ascii="Times New Roman" w:eastAsia="Times New Roman" w:hAnsi="Times New Roman" w:cs="Times New Roman"/>
        <w:sz w:val="19"/>
        <w:szCs w:val="19"/>
      </w:rPr>
      <w:t xml:space="preserve">Settore Economico Amministrazione, </w:t>
    </w:r>
  </w:p>
  <w:p w:rsidR="00631F0A" w:rsidRDefault="00AD4584">
    <w:pPr>
      <w:keepNext/>
      <w:pBdr>
        <w:right w:val="single" w:sz="4" w:space="4" w:color="000000"/>
      </w:pBdr>
      <w:spacing w:before="20" w:after="20" w:line="240" w:lineRule="auto"/>
      <w:jc w:val="right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sz w:val="19"/>
        <w:szCs w:val="19"/>
      </w:rPr>
      <w:t xml:space="preserve">Finanza e Marketing Sistemi Informativi Aziendali </w:t>
    </w:r>
  </w:p>
  <w:p w:rsidR="00631F0A" w:rsidRDefault="00AD4584">
    <w:pPr>
      <w:widowControl w:val="0"/>
      <w:spacing w:before="5" w:after="0" w:line="240" w:lineRule="auto"/>
      <w:ind w:right="39"/>
      <w:jc w:val="right"/>
      <w:rPr>
        <w:rFonts w:ascii="Times New Roman" w:eastAsia="Times New Roman" w:hAnsi="Times New Roman" w:cs="Times New Roman"/>
        <w:sz w:val="19"/>
        <w:szCs w:val="19"/>
      </w:rPr>
    </w:pPr>
    <w:r>
      <w:rPr>
        <w:rFonts w:ascii="Times New Roman" w:eastAsia="Times New Roman" w:hAnsi="Times New Roman" w:cs="Times New Roman"/>
        <w:sz w:val="19"/>
        <w:szCs w:val="19"/>
      </w:rPr>
      <w:t xml:space="preserve">Relazioni internazionali per il Marketing </w:t>
    </w:r>
  </w:p>
  <w:p w:rsidR="00631F0A" w:rsidRDefault="00AD4584">
    <w:pPr>
      <w:widowControl w:val="0"/>
      <w:spacing w:after="0" w:line="231" w:lineRule="auto"/>
      <w:ind w:left="5876" w:right="34" w:firstLine="111"/>
      <w:jc w:val="right"/>
      <w:rPr>
        <w:rFonts w:ascii="Arial Narrow" w:eastAsia="Arial Narrow" w:hAnsi="Arial Narrow" w:cs="Arial Narrow"/>
        <w:b/>
        <w:sz w:val="40"/>
        <w:szCs w:val="40"/>
      </w:rPr>
    </w:pPr>
    <w:r>
      <w:rPr>
        <w:rFonts w:ascii="Times New Roman" w:eastAsia="Times New Roman" w:hAnsi="Times New Roman" w:cs="Times New Roman"/>
        <w:sz w:val="19"/>
        <w:szCs w:val="19"/>
      </w:rPr>
      <w:t xml:space="preserve">Settore Tecnologico Costruzioni, Ambiente e Territorio Liceo Artistico Arti Figurative - Architettura e Ambiente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D6B45"/>
    <w:multiLevelType w:val="multilevel"/>
    <w:tmpl w:val="02C47B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5C63B6E"/>
    <w:multiLevelType w:val="multilevel"/>
    <w:tmpl w:val="42EA74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6245D3"/>
    <w:multiLevelType w:val="multilevel"/>
    <w:tmpl w:val="050614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0A"/>
    <w:rsid w:val="00226FB3"/>
    <w:rsid w:val="00631F0A"/>
    <w:rsid w:val="00AD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5ABE29-1B89-4D9A-B61B-49D4565D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C0A02"/>
    <w:pPr>
      <w:keepNext/>
      <w:spacing w:after="0" w:line="240" w:lineRule="auto"/>
      <w:jc w:val="center"/>
      <w:outlineLvl w:val="0"/>
    </w:pPr>
    <w:rPr>
      <w:rFonts w:ascii="Arial" w:eastAsia="Times" w:hAnsi="Arial" w:cs="Times New Roman"/>
      <w:b/>
      <w:sz w:val="40"/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0A02"/>
  </w:style>
  <w:style w:type="paragraph" w:styleId="Pidipagina">
    <w:name w:val="footer"/>
    <w:basedOn w:val="Normale"/>
    <w:link w:val="PidipaginaCarattere"/>
    <w:uiPriority w:val="99"/>
    <w:unhideWhenUsed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0A02"/>
  </w:style>
  <w:style w:type="character" w:customStyle="1" w:styleId="Titolo1Carattere">
    <w:name w:val="Titolo 1 Carattere"/>
    <w:basedOn w:val="Carpredefinitoparagrafo"/>
    <w:link w:val="Titolo1"/>
    <w:rsid w:val="00EC0A02"/>
    <w:rPr>
      <w:rFonts w:ascii="Arial" w:eastAsia="Times" w:hAnsi="Arial" w:cs="Times New Roman"/>
      <w:b/>
      <w:sz w:val="40"/>
      <w:szCs w:val="20"/>
      <w:lang w:eastAsia="it-IT"/>
    </w:r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4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4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foelenco">
    <w:name w:val="List Paragraph"/>
    <w:basedOn w:val="Normale"/>
    <w:uiPriority w:val="34"/>
    <w:qFormat/>
    <w:rsid w:val="004E3637"/>
    <w:pPr>
      <w:ind w:left="720"/>
      <w:contextualSpacing/>
    </w:p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850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5/y8A4mUW6rpTeZd7scU7xZy8cQ==">AMUW2mVv5iESdqaTdUqoy3iFLnZ7v7rOvxzdvIvrKlHkZDMBXQVUckLBd1zNWzjEci0ZVIaD787SAzAq4xOheIWtUdmaZ9pkZWt8q8mIZnbqjjsrcV0gJbU2YFgkak2ucm8tarMprNkaNwviPqXmsgWjiUy5wcJwQHD9+iYRXrzFq68oS7u5Nc+YKZGaRa3I203GdAjktCBBUog/yW3onwG0wkJxyO85+kd8VNzTz4N74Ek8wtpScAap6KnavYUR+D/lU3QtqTZhDM3zAlV5iMKqwlZtIkbTzLf11KrslWEP+yE1vIZ8gW1xQGvLsCdFsfIp830hld43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Chiabrando</dc:creator>
  <cp:lastModifiedBy>Utente</cp:lastModifiedBy>
  <cp:revision>2</cp:revision>
  <dcterms:created xsi:type="dcterms:W3CDTF">2023-06-09T08:13:00Z</dcterms:created>
  <dcterms:modified xsi:type="dcterms:W3CDTF">2023-06-09T08:13:00Z</dcterms:modified>
</cp:coreProperties>
</file>